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numPr>
          <w:numId w:val="0"/>
        </w:numPr>
        <w:spacing w:line="600" w:lineRule="exact"/>
        <w:jc w:val="both"/>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 xml:space="preserve">附件1       </w:t>
      </w:r>
    </w:p>
    <w:p>
      <w:pPr>
        <w:numPr>
          <w:numId w:val="0"/>
        </w:numPr>
        <w:spacing w:line="600" w:lineRule="exact"/>
        <w:jc w:val="center"/>
        <w:rPr>
          <w:rFonts w:hint="eastAsia" w:ascii="黑体" w:hAnsi="黑体" w:eastAsia="黑体" w:cs="黑体"/>
          <w:b w:val="0"/>
          <w:bCs/>
          <w:sz w:val="28"/>
          <w:szCs w:val="28"/>
          <w:lang w:val="en-US" w:eastAsia="zh-CN"/>
        </w:rPr>
      </w:pPr>
      <w:bookmarkStart w:id="0" w:name="_GoBack"/>
      <w:r>
        <w:rPr>
          <w:rFonts w:hint="eastAsia" w:ascii="黑体" w:hAnsi="黑体" w:eastAsia="黑体" w:cs="黑体"/>
          <w:b w:val="0"/>
          <w:bCs/>
          <w:sz w:val="28"/>
          <w:szCs w:val="28"/>
          <w:lang w:val="en-US" w:eastAsia="zh-CN"/>
        </w:rPr>
        <w:t>参与海外远程视频公证试点公证机构名单</w:t>
      </w:r>
    </w:p>
    <w:bookmarkEnd w:id="0"/>
    <w:p>
      <w:pPr>
        <w:pStyle w:val="2"/>
        <w:widowControl w:val="0"/>
        <w:wordWrap/>
        <w:adjustRightInd w:val="0"/>
        <w:snapToGrid w:val="0"/>
        <w:spacing w:line="580" w:lineRule="exact"/>
        <w:ind w:left="0" w:leftChars="0" w:firstLine="0" w:firstLineChars="0"/>
        <w:jc w:val="center"/>
        <w:textAlignment w:val="auto"/>
        <w:rPr>
          <w:rFonts w:hint="eastAsia" w:ascii="黑体" w:hAnsi="黑体" w:eastAsia="黑体" w:cs="黑体"/>
          <w:b w:val="0"/>
          <w:bCs/>
          <w:kern w:val="2"/>
          <w:sz w:val="28"/>
          <w:szCs w:val="28"/>
          <w:lang w:val="en-US" w:eastAsia="zh-CN" w:bidi="ar-SA"/>
        </w:rPr>
      </w:pPr>
      <w:r>
        <w:rPr>
          <w:rFonts w:hint="eastAsia" w:ascii="黑体" w:hAnsi="黑体" w:eastAsia="黑体" w:cs="黑体"/>
          <w:b w:val="0"/>
          <w:bCs/>
          <w:kern w:val="2"/>
          <w:sz w:val="28"/>
          <w:szCs w:val="28"/>
          <w:lang w:val="en-US" w:eastAsia="zh-CN" w:bidi="ar-SA"/>
        </w:rPr>
        <w:t>（共94家）</w:t>
      </w:r>
    </w:p>
    <w:p>
      <w:pPr>
        <w:rPr>
          <w:rFonts w:hint="eastAsia"/>
          <w:lang w:val="en-US" w:eastAsia="zh-CN"/>
        </w:rPr>
      </w:pP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北京市：</w:t>
      </w:r>
    </w:p>
    <w:p>
      <w:pPr>
        <w:ind w:firstLine="560" w:firstLineChars="200"/>
        <w:rPr>
          <w:rFonts w:hint="eastAsia" w:ascii="仿宋_GB2312" w:hAnsi="仿宋_GB2312" w:eastAsia="仿宋_GB2312" w:cs="仿宋_GB2312"/>
          <w:b w:val="0"/>
          <w:bCs/>
          <w:kern w:val="2"/>
          <w:sz w:val="28"/>
          <w:szCs w:val="28"/>
          <w:lang w:val="en-US" w:eastAsia="zh-CN" w:bidi="ar-SA"/>
        </w:rPr>
      </w:pPr>
      <w:r>
        <w:rPr>
          <w:rFonts w:hint="eastAsia" w:ascii="仿宋_GB2312" w:hAnsi="仿宋_GB2312" w:eastAsia="仿宋_GB2312" w:cs="仿宋_GB2312"/>
          <w:b w:val="0"/>
          <w:bCs/>
          <w:kern w:val="2"/>
          <w:sz w:val="28"/>
          <w:szCs w:val="28"/>
          <w:lang w:val="en-US" w:eastAsia="zh-CN" w:bidi="ar-SA"/>
        </w:rPr>
        <w:t>北京市长安公证处、北京市方圆公证处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天津市：</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天津市北方公证处、天津市和信公证处、天津市津滨公证处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河北省：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石家庄市燕赵公证处、唐山市华忆公证处、邯郸市赵都公证处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山西省：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太原市城北公证处、太原市城西公证处、太原市城南公证处</w:t>
      </w:r>
    </w:p>
    <w:p>
      <w:pPr>
        <w:widowControl w:val="0"/>
        <w:wordWrap/>
        <w:spacing w:line="600" w:lineRule="exact"/>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w:t>
      </w:r>
      <w:r>
        <w:rPr>
          <w:rFonts w:hint="eastAsia" w:ascii="仿宋_GB2312" w:hAnsi="仿宋_GB2312" w:eastAsia="仿宋_GB2312" w:cs="仿宋_GB2312"/>
          <w:b/>
          <w:bCs w:val="0"/>
          <w:kern w:val="2"/>
          <w:sz w:val="28"/>
          <w:szCs w:val="28"/>
          <w:lang w:val="en-US" w:eastAsia="zh-CN" w:bidi="ar-SA"/>
        </w:rPr>
        <w:t>内蒙古自治区：</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highlight w:val="yellow"/>
          <w:lang w:val="en-US" w:eastAsia="zh-CN"/>
        </w:rPr>
      </w:pPr>
      <w:r>
        <w:rPr>
          <w:rFonts w:hint="eastAsia" w:ascii="仿宋_GB2312" w:hAnsi="仿宋_GB2312" w:eastAsia="仿宋_GB2312" w:cs="仿宋_GB2312"/>
          <w:b w:val="0"/>
          <w:bCs/>
          <w:sz w:val="28"/>
          <w:szCs w:val="28"/>
          <w:lang w:val="en-US" w:eastAsia="zh-CN"/>
        </w:rPr>
        <w:t>包头市方正公证处、呼和浩特市蒙正公证处、呼和浩特市正信公证处</w:t>
      </w:r>
    </w:p>
    <w:p>
      <w:pPr>
        <w:widowControl w:val="0"/>
        <w:wordWrap/>
        <w:spacing w:line="600" w:lineRule="exact"/>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w:t>
      </w:r>
      <w:r>
        <w:rPr>
          <w:rFonts w:hint="eastAsia" w:ascii="仿宋_GB2312" w:hAnsi="仿宋_GB2312" w:eastAsia="仿宋_GB2312" w:cs="仿宋_GB2312"/>
          <w:b/>
          <w:bCs w:val="0"/>
          <w:kern w:val="2"/>
          <w:sz w:val="28"/>
          <w:szCs w:val="28"/>
          <w:lang w:val="en-US" w:eastAsia="zh-CN" w:bidi="ar-SA"/>
        </w:rPr>
        <w:t>吉林省：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长春市国安公证处</w:t>
      </w:r>
    </w:p>
    <w:p>
      <w:pPr>
        <w:widowControl w:val="0"/>
        <w:wordWrap/>
        <w:spacing w:line="600" w:lineRule="exact"/>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w:t>
      </w:r>
      <w:r>
        <w:rPr>
          <w:rFonts w:hint="eastAsia" w:ascii="仿宋_GB2312" w:hAnsi="仿宋_GB2312" w:eastAsia="仿宋_GB2312" w:cs="仿宋_GB2312"/>
          <w:b/>
          <w:bCs w:val="0"/>
          <w:kern w:val="2"/>
          <w:sz w:val="28"/>
          <w:szCs w:val="28"/>
          <w:lang w:val="en-US" w:eastAsia="zh-CN" w:bidi="ar-SA"/>
        </w:rPr>
        <w:t>辽宁省：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辽宁省公证处、大连市公证处、盘锦市兴盛公证处</w:t>
      </w:r>
    </w:p>
    <w:p>
      <w:pPr>
        <w:widowControl w:val="0"/>
        <w:wordWrap/>
        <w:spacing w:line="600" w:lineRule="exact"/>
        <w:ind w:firstLine="562" w:firstLineChars="200"/>
        <w:jc w:val="left"/>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黑龙江省：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哈尔滨市哈尔滨公证处、哈尔滨国信公证处</w:t>
      </w:r>
    </w:p>
    <w:p>
      <w:pPr>
        <w:widowControl w:val="0"/>
        <w:wordWrap/>
        <w:spacing w:line="600" w:lineRule="exact"/>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w:t>
      </w:r>
      <w:r>
        <w:rPr>
          <w:rFonts w:hint="eastAsia" w:ascii="仿宋_GB2312" w:hAnsi="仿宋_GB2312" w:eastAsia="仿宋_GB2312" w:cs="仿宋_GB2312"/>
          <w:b/>
          <w:bCs w:val="0"/>
          <w:kern w:val="2"/>
          <w:sz w:val="28"/>
          <w:szCs w:val="28"/>
          <w:lang w:val="en-US" w:eastAsia="zh-CN" w:bidi="ar-SA"/>
        </w:rPr>
        <w:t>上海市：</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上海市东方公证处、上海市徐汇公证处、上海市张江公证处、上海市新虹桥公证处、上海市临港公证处</w:t>
      </w:r>
    </w:p>
    <w:p>
      <w:pPr>
        <w:widowControl w:val="0"/>
        <w:wordWrap/>
        <w:spacing w:line="600" w:lineRule="exact"/>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江苏省：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南京市南京公证处、南京市石城公证处、苏州市苏州公证处、南通市南通公证处</w:t>
      </w:r>
    </w:p>
    <w:p>
      <w:pPr>
        <w:widowControl w:val="0"/>
        <w:wordWrap/>
        <w:spacing w:line="600" w:lineRule="exact"/>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浙江省：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杭州市国立公证处、杭州市杭州互联网公证处、温州市华东公证处、文成县公证处、义乌市公证处、宁波市天一公证处、青田县公证处</w:t>
      </w:r>
    </w:p>
    <w:p>
      <w:pPr>
        <w:pStyle w:val="2"/>
        <w:widowControl w:val="0"/>
        <w:wordWrap/>
        <w:adjustRightInd w:val="0"/>
        <w:snapToGrid w:val="0"/>
        <w:spacing w:line="600" w:lineRule="exact"/>
        <w:ind w:left="0" w:leftChars="0" w:firstLine="0" w:firstLineChars="0"/>
        <w:jc w:val="both"/>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w:t>
      </w:r>
      <w:r>
        <w:rPr>
          <w:rFonts w:hint="eastAsia" w:ascii="仿宋_GB2312" w:hAnsi="仿宋_GB2312" w:eastAsia="仿宋_GB2312" w:cs="仿宋_GB2312"/>
          <w:b/>
          <w:bCs w:val="0"/>
          <w:kern w:val="2"/>
          <w:sz w:val="28"/>
          <w:szCs w:val="28"/>
          <w:lang w:val="en-US" w:eastAsia="zh-CN" w:bidi="ar-SA"/>
        </w:rPr>
        <w:t>安徽省：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合肥市徽元公证处、芜湖市法信公证处、六安市江淮公证处</w:t>
      </w:r>
    </w:p>
    <w:p>
      <w:pPr>
        <w:widowControl w:val="0"/>
        <w:wordWrap/>
        <w:spacing w:line="600" w:lineRule="exact"/>
        <w:ind w:firstLine="562" w:firstLineChars="200"/>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福建省：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福州市闽江公证处、厦门市公证处、漳州市龙海公证处、</w:t>
      </w:r>
    </w:p>
    <w:p>
      <w:pPr>
        <w:pStyle w:val="2"/>
        <w:widowControl w:val="0"/>
        <w:wordWrap/>
        <w:adjustRightInd w:val="0"/>
        <w:snapToGrid w:val="0"/>
        <w:spacing w:line="600" w:lineRule="exact"/>
        <w:ind w:left="0" w:leftChars="0" w:firstLine="0" w:firstLineChars="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厦门市鹭江公证处、福清市玉融公证处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江西省：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南昌市赣江公证处、南昌市豫章公证处、南昌市大成公证处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山东省：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济南市泉城公证处、济南市齐鲁公证处、青岛市黄海公证处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河南省：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郑州市黄河公证处、郑州市大豫公证处、郑州市华夏公证处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湖北省：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武汉市尚信公证处、襄阳市襄阳公证处、宜昌市三峡公证处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湖南省：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长沙市长沙公证处、长沙市华湘公证处、郴州市福城公证处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广东省：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广州市南方公证处、广州市南沙公证处、深圳市前海公证处、珠海市横琴公证处、江门市五邑公证处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广西壮族自治区：</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南宁市桂南公证处、南宁市北部湾公证处、南宁市东博公证处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海南省：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海口市南海公证处、三亚市凤凰公证处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重庆市：</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重庆市公证处、重庆市国信公证处、重庆市中信公证处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四川省：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成都市律政公证处、成都市国力公证处、成都市蜀都公证处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贵州省：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贵阳市国信公证处、遵义市法信公证处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云南省：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昆明市明信公证处、昆明市国信公证处、昆明市国正公证处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西藏自治区：</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拉萨市阳光公证处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陕西省：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西安市汉唐公证处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甘肃省：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兰州市国信公证处、兰州恒信公证处、兰州飞天公证处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青海省：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西宁市夏都公证处、西宁市永信公证处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宁夏回族自治区：</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银川市国信公证处、银川市国安公证处、银川市国立公证处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新疆维吾尔自治区：</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乌鲁木齐市法诺公证处、乌鲁木齐市中信公证处、伊宁市白杨公证处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新疆生产建设兵团：</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乌鲁木齐西域公证处</w:t>
      </w:r>
    </w:p>
    <w:p>
      <w:pPr>
        <w:pStyle w:val="5"/>
        <w:numPr>
          <w:numId w:val="0"/>
        </w:numPr>
        <w:spacing w:line="600" w:lineRule="exact"/>
        <w:ind w:left="840" w:firstLine="0" w:firstLineChars="0"/>
        <w:jc w:val="both"/>
        <w:rPr>
          <w:sz w:val="24"/>
          <w:szCs w:val="24"/>
        </w:rPr>
      </w:pPr>
    </w:p>
    <w:p>
      <w:pPr>
        <w:numPr>
          <w:numId w:val="0"/>
        </w:numPr>
        <w:spacing w:line="600" w:lineRule="exact"/>
        <w:ind w:firstLine="480"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rPr>
        <w:t>注</w:t>
      </w:r>
      <w:r>
        <w:rPr>
          <w:rFonts w:hint="eastAsia" w:ascii="仿宋_GB2312" w:hAnsi="仿宋_GB2312" w:eastAsia="仿宋_GB2312" w:cs="仿宋_GB2312"/>
          <w:sz w:val="24"/>
          <w:szCs w:val="24"/>
          <w:lang w:val="en-US" w:eastAsia="zh-CN"/>
        </w:rPr>
        <w:t>：除上述公证机构外，申请人可自行联系其他符合资质且同意受理的机构办理海外远程视频公证业务。</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等线">
    <w:altName w:val="宋体"/>
    <w:panose1 w:val="02010600030001010101"/>
    <w:charset w:val="86"/>
    <w:family w:val="auto"/>
    <w:pitch w:val="default"/>
    <w:sig w:usb0="00000000" w:usb1="00000000"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NzJiYjdkM2MyYWIxMjQ1NjNmOTczN2VkMzZmMDdiMGUifQ=="/>
  </w:docVars>
  <w:rsids>
    <w:rsidRoot w:val="24753F08"/>
    <w:rsid w:val="24753F08"/>
    <w:rsid w:val="4B5E7DE9"/>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semiHidden/>
    <w:uiPriority w:val="0"/>
  </w:style>
  <w:style w:type="table" w:default="1" w:styleId="4">
    <w:name w:val="Normal Table"/>
    <w:semiHidden/>
    <w:uiPriority w:val="0"/>
    <w:tblPr>
      <w:tblStyle w:val="4"/>
      <w:tblLayout w:type="fixed"/>
      <w:tblCellMar>
        <w:top w:w="0" w:type="dxa"/>
        <w:left w:w="108" w:type="dxa"/>
        <w:bottom w:w="0" w:type="dxa"/>
        <w:right w:w="108" w:type="dxa"/>
      </w:tblCellMar>
    </w:tblPr>
    <w:tcPr>
      <w:textDirection w:val="lrTb"/>
    </w:tcPr>
  </w:style>
  <w:style w:type="paragraph" w:styleId="2">
    <w:name w:val="toc 3"/>
    <w:basedOn w:val="1"/>
    <w:next w:val="1"/>
    <w:qFormat/>
    <w:uiPriority w:val="0"/>
    <w:pPr>
      <w:ind w:left="420"/>
    </w:pPr>
    <w:rPr>
      <w:rFonts w:ascii="等线" w:hAnsi="等线" w:eastAsia="等线"/>
      <w:b/>
      <w:sz w:val="30"/>
      <w:szCs w:val="30"/>
    </w:rPr>
  </w:style>
  <w:style w:type="paragraph" w:customStyle="1"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1039</Words>
  <Characters>1040</Characters>
  <Lines>0</Lines>
  <Paragraphs>0</Paragraphs>
  <ScaleCrop>false</ScaleCrop>
  <LinksUpToDate>false</LinksUpToDate>
  <CharactersWithSpaces>0</CharactersWithSpaces>
  <Application>WPS Office 专业版_9.1.0.4940_F1E327BC-269C-435d-A152-05C5408002CA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2022-05-11T02:05:00Z</dcterms:created>
  <dc:creator>ShiYongRen</dc:creator>
  <cp:lastModifiedBy>ShiYongRen</cp:lastModifiedBy>
  <dcterms:modified xsi:type="dcterms:W3CDTF">2023-05-15T07:04:58Z</dcterms:modified>
  <dc:title>附件1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y fmtid="{D5CDD505-2E9C-101B-9397-08002B2CF9AE}" pid="3" name="ICV">
    <vt:lpwstr>F2E8648E941F461BA2A1A888BF01A00C</vt:lpwstr>
  </property>
</Properties>
</file>